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8BABA" w14:textId="4521E256" w:rsidR="00E214E9" w:rsidRPr="00512080" w:rsidRDefault="00512080" w:rsidP="00512080">
      <w:pPr>
        <w:spacing w:line="240" w:lineRule="auto"/>
        <w:jc w:val="center"/>
        <w:rPr>
          <w:b/>
          <w:sz w:val="28"/>
          <w:szCs w:val="28"/>
        </w:rPr>
      </w:pPr>
      <w:r w:rsidRPr="00512080">
        <w:rPr>
          <w:b/>
          <w:sz w:val="28"/>
          <w:szCs w:val="28"/>
        </w:rPr>
        <w:t xml:space="preserve">IBHA </w:t>
      </w:r>
      <w:r w:rsidR="00654B60" w:rsidRPr="00512080">
        <w:rPr>
          <w:b/>
          <w:sz w:val="28"/>
          <w:szCs w:val="28"/>
        </w:rPr>
        <w:t xml:space="preserve">Treasurer’s Report </w:t>
      </w:r>
      <w:r w:rsidR="00882B9C">
        <w:rPr>
          <w:b/>
          <w:sz w:val="28"/>
          <w:szCs w:val="28"/>
        </w:rPr>
        <w:t xml:space="preserve">to Members </w:t>
      </w:r>
      <w:r w:rsidR="007862FB">
        <w:rPr>
          <w:b/>
          <w:sz w:val="28"/>
          <w:szCs w:val="28"/>
        </w:rPr>
        <w:t>Aug 2014</w:t>
      </w:r>
    </w:p>
    <w:p w14:paraId="69B07270" w14:textId="053BC6D8" w:rsidR="00882B9C" w:rsidRPr="00882B9C" w:rsidRDefault="00882B9C" w:rsidP="00654B60">
      <w:pPr>
        <w:spacing w:line="240" w:lineRule="auto"/>
        <w:rPr>
          <w:b/>
          <w:sz w:val="24"/>
          <w:szCs w:val="24"/>
        </w:rPr>
      </w:pPr>
      <w:r w:rsidRPr="00882B9C">
        <w:rPr>
          <w:b/>
          <w:sz w:val="24"/>
          <w:szCs w:val="24"/>
        </w:rPr>
        <w:t>The I</w:t>
      </w:r>
      <w:r w:rsidR="007862FB">
        <w:rPr>
          <w:b/>
          <w:sz w:val="24"/>
          <w:szCs w:val="24"/>
        </w:rPr>
        <w:t xml:space="preserve">BHA operates two bank accounts: a </w:t>
      </w:r>
      <w:r w:rsidRPr="00882B9C">
        <w:rPr>
          <w:b/>
          <w:sz w:val="24"/>
          <w:szCs w:val="24"/>
        </w:rPr>
        <w:t>designated account within Grand Valley State University (</w:t>
      </w:r>
      <w:r w:rsidR="007862FB">
        <w:rPr>
          <w:b/>
          <w:sz w:val="24"/>
          <w:szCs w:val="24"/>
        </w:rPr>
        <w:t>HQ</w:t>
      </w:r>
      <w:r w:rsidRPr="00882B9C">
        <w:rPr>
          <w:b/>
          <w:sz w:val="24"/>
          <w:szCs w:val="24"/>
        </w:rPr>
        <w:t xml:space="preserve"> of the IBHA); </w:t>
      </w:r>
      <w:r w:rsidR="007862FB">
        <w:rPr>
          <w:b/>
          <w:sz w:val="24"/>
          <w:szCs w:val="24"/>
        </w:rPr>
        <w:t>and a separate account with</w:t>
      </w:r>
      <w:r w:rsidRPr="00882B9C">
        <w:rPr>
          <w:b/>
          <w:sz w:val="24"/>
          <w:szCs w:val="24"/>
        </w:rPr>
        <w:t xml:space="preserve"> Lake Michigan Credit Union</w:t>
      </w:r>
    </w:p>
    <w:p w14:paraId="295D2DE2" w14:textId="2D2234FC" w:rsidR="00654B60" w:rsidRPr="00204875" w:rsidRDefault="00882B9C" w:rsidP="00654B6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1. </w:t>
      </w:r>
      <w:r w:rsidR="00204875">
        <w:rPr>
          <w:b/>
          <w:sz w:val="24"/>
          <w:szCs w:val="24"/>
        </w:rPr>
        <w:t>B</w:t>
      </w:r>
      <w:r w:rsidR="00204875" w:rsidRPr="00204875">
        <w:rPr>
          <w:b/>
          <w:sz w:val="24"/>
          <w:szCs w:val="24"/>
        </w:rPr>
        <w:t xml:space="preserve">alance of GVSU account as of </w:t>
      </w:r>
      <w:r w:rsidR="0038411B">
        <w:rPr>
          <w:b/>
          <w:sz w:val="24"/>
          <w:szCs w:val="24"/>
        </w:rPr>
        <w:t>30</w:t>
      </w:r>
      <w:r w:rsidR="0038411B" w:rsidRPr="0038411B">
        <w:rPr>
          <w:b/>
          <w:sz w:val="24"/>
          <w:szCs w:val="24"/>
          <w:vertAlign w:val="superscript"/>
        </w:rPr>
        <w:t>th</w:t>
      </w:r>
      <w:r w:rsidR="0038411B">
        <w:rPr>
          <w:b/>
          <w:sz w:val="24"/>
          <w:szCs w:val="24"/>
        </w:rPr>
        <w:t xml:space="preserve"> June</w:t>
      </w:r>
      <w:r w:rsidR="00204875">
        <w:rPr>
          <w:b/>
          <w:sz w:val="24"/>
          <w:szCs w:val="24"/>
        </w:rPr>
        <w:t xml:space="preserve"> 2014</w:t>
      </w:r>
      <w:r w:rsidR="00654B60" w:rsidRPr="00204875">
        <w:rPr>
          <w:b/>
          <w:sz w:val="24"/>
          <w:szCs w:val="24"/>
        </w:rPr>
        <w:t xml:space="preserve">:  </w:t>
      </w:r>
      <w:r w:rsidR="00654B60" w:rsidRPr="00204875">
        <w:rPr>
          <w:b/>
          <w:sz w:val="24"/>
          <w:szCs w:val="24"/>
        </w:rPr>
        <w:tab/>
      </w:r>
      <w:r w:rsidR="00654B60" w:rsidRPr="00204875">
        <w:rPr>
          <w:b/>
          <w:sz w:val="24"/>
          <w:szCs w:val="24"/>
        </w:rPr>
        <w:tab/>
      </w:r>
      <w:r w:rsidR="00654B60" w:rsidRPr="00204875">
        <w:rPr>
          <w:b/>
          <w:sz w:val="24"/>
          <w:szCs w:val="24"/>
        </w:rPr>
        <w:tab/>
      </w:r>
      <w:r w:rsidR="00204875">
        <w:rPr>
          <w:b/>
          <w:sz w:val="24"/>
          <w:szCs w:val="24"/>
        </w:rPr>
        <w:tab/>
      </w:r>
      <w:r w:rsidR="00654B60" w:rsidRPr="00204875">
        <w:rPr>
          <w:b/>
          <w:sz w:val="24"/>
          <w:szCs w:val="24"/>
          <w:u w:val="single"/>
        </w:rPr>
        <w:t>$</w:t>
      </w:r>
      <w:r w:rsidR="00512080">
        <w:rPr>
          <w:b/>
          <w:sz w:val="24"/>
          <w:szCs w:val="24"/>
          <w:u w:val="single"/>
        </w:rPr>
        <w:t>29,740.73</w:t>
      </w:r>
    </w:p>
    <w:p w14:paraId="6647AC07" w14:textId="56F4E80E" w:rsidR="00204875" w:rsidRPr="007862FB" w:rsidRDefault="00204875" w:rsidP="007862FB">
      <w:pPr>
        <w:spacing w:line="240" w:lineRule="auto"/>
        <w:rPr>
          <w:sz w:val="24"/>
          <w:szCs w:val="24"/>
        </w:rPr>
      </w:pPr>
      <w:r w:rsidRPr="007862FB">
        <w:rPr>
          <w:sz w:val="24"/>
          <w:szCs w:val="24"/>
        </w:rPr>
        <w:t xml:space="preserve">This account is </w:t>
      </w:r>
      <w:r w:rsidR="00EB66C0" w:rsidRPr="007862FB">
        <w:rPr>
          <w:sz w:val="24"/>
          <w:szCs w:val="24"/>
        </w:rPr>
        <w:t>mostly</w:t>
      </w:r>
      <w:r w:rsidRPr="007862FB">
        <w:rPr>
          <w:sz w:val="24"/>
          <w:szCs w:val="24"/>
        </w:rPr>
        <w:t xml:space="preserve"> used to pay wages for our Office Coordinator</w:t>
      </w:r>
      <w:r w:rsidR="00EB66C0" w:rsidRPr="007862FB">
        <w:rPr>
          <w:sz w:val="24"/>
          <w:szCs w:val="24"/>
        </w:rPr>
        <w:t>.</w:t>
      </w:r>
      <w:r w:rsidR="007862FB" w:rsidRPr="007862FB">
        <w:rPr>
          <w:sz w:val="24"/>
          <w:szCs w:val="24"/>
        </w:rPr>
        <w:t xml:space="preserve">  </w:t>
      </w:r>
      <w:r w:rsidRPr="007862FB">
        <w:rPr>
          <w:sz w:val="24"/>
          <w:szCs w:val="24"/>
        </w:rPr>
        <w:t xml:space="preserve">Based on current </w:t>
      </w:r>
      <w:r w:rsidR="00512080" w:rsidRPr="007862FB">
        <w:rPr>
          <w:sz w:val="24"/>
          <w:szCs w:val="24"/>
        </w:rPr>
        <w:t>wages</w:t>
      </w:r>
      <w:r w:rsidRPr="007862FB">
        <w:rPr>
          <w:sz w:val="24"/>
          <w:szCs w:val="24"/>
        </w:rPr>
        <w:t xml:space="preserve"> we </w:t>
      </w:r>
      <w:r w:rsidR="00151F7F">
        <w:rPr>
          <w:sz w:val="24"/>
          <w:szCs w:val="24"/>
        </w:rPr>
        <w:t>should be</w:t>
      </w:r>
      <w:r w:rsidRPr="007862FB">
        <w:rPr>
          <w:sz w:val="24"/>
          <w:szCs w:val="24"/>
        </w:rPr>
        <w:t xml:space="preserve"> able to continue </w:t>
      </w:r>
      <w:r w:rsidR="00512080" w:rsidRPr="007862FB">
        <w:rPr>
          <w:sz w:val="24"/>
          <w:szCs w:val="24"/>
        </w:rPr>
        <w:t>to employ our OC</w:t>
      </w:r>
      <w:r w:rsidRPr="007862FB">
        <w:rPr>
          <w:sz w:val="24"/>
          <w:szCs w:val="24"/>
        </w:rPr>
        <w:t xml:space="preserve"> at an annual sa</w:t>
      </w:r>
      <w:r w:rsidR="00151F7F">
        <w:rPr>
          <w:sz w:val="24"/>
          <w:szCs w:val="24"/>
        </w:rPr>
        <w:t>lary of approximately $16-18</w:t>
      </w:r>
      <w:r w:rsidR="007862FB" w:rsidRPr="007862FB">
        <w:rPr>
          <w:sz w:val="24"/>
          <w:szCs w:val="24"/>
        </w:rPr>
        <w:t>K</w:t>
      </w:r>
      <w:r w:rsidR="0038411B" w:rsidRPr="007862FB">
        <w:rPr>
          <w:sz w:val="24"/>
          <w:szCs w:val="24"/>
        </w:rPr>
        <w:t xml:space="preserve"> pa</w:t>
      </w:r>
      <w:r w:rsidRPr="007862FB">
        <w:rPr>
          <w:sz w:val="24"/>
          <w:szCs w:val="24"/>
        </w:rPr>
        <w:t xml:space="preserve"> for </w:t>
      </w:r>
      <w:r w:rsidR="00EB66C0" w:rsidRPr="007862FB">
        <w:rPr>
          <w:sz w:val="24"/>
          <w:szCs w:val="24"/>
        </w:rPr>
        <w:t xml:space="preserve">almost </w:t>
      </w:r>
      <w:r w:rsidRPr="007862FB">
        <w:rPr>
          <w:sz w:val="24"/>
          <w:szCs w:val="24"/>
        </w:rPr>
        <w:t>another</w:t>
      </w:r>
      <w:r w:rsidR="00512080" w:rsidRPr="007862FB">
        <w:rPr>
          <w:sz w:val="24"/>
          <w:szCs w:val="24"/>
        </w:rPr>
        <w:t xml:space="preserve"> two</w:t>
      </w:r>
      <w:r w:rsidRPr="007862FB">
        <w:rPr>
          <w:sz w:val="24"/>
          <w:szCs w:val="24"/>
        </w:rPr>
        <w:t xml:space="preserve"> years without having to transfer any money in from our LMCU operating account. </w:t>
      </w:r>
    </w:p>
    <w:p w14:paraId="322A089F" w14:textId="4BF2789D" w:rsidR="00654B60" w:rsidRDefault="00882B9C" w:rsidP="00654B60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color w:val="000000" w:themeColor="text1"/>
          <w:sz w:val="24"/>
          <w:szCs w:val="24"/>
        </w:rPr>
        <w:t xml:space="preserve">Balance </w:t>
      </w:r>
      <w:r w:rsidR="00E214E9">
        <w:rPr>
          <w:b/>
          <w:color w:val="000000" w:themeColor="text1"/>
          <w:sz w:val="24"/>
          <w:szCs w:val="24"/>
        </w:rPr>
        <w:t xml:space="preserve">of </w:t>
      </w:r>
      <w:r>
        <w:rPr>
          <w:b/>
          <w:color w:val="000000" w:themeColor="text1"/>
          <w:sz w:val="24"/>
          <w:szCs w:val="24"/>
        </w:rPr>
        <w:t xml:space="preserve">LMCU account as of </w:t>
      </w:r>
      <w:r w:rsidR="00204875">
        <w:rPr>
          <w:b/>
          <w:color w:val="000000" w:themeColor="text1"/>
          <w:sz w:val="24"/>
          <w:szCs w:val="24"/>
        </w:rPr>
        <w:t>June 30</w:t>
      </w:r>
      <w:r w:rsidR="00204875" w:rsidRPr="00204875">
        <w:rPr>
          <w:b/>
          <w:color w:val="000000" w:themeColor="text1"/>
          <w:sz w:val="24"/>
          <w:szCs w:val="24"/>
          <w:vertAlign w:val="superscript"/>
        </w:rPr>
        <w:t>th</w:t>
      </w:r>
      <w:r w:rsidR="00204875">
        <w:rPr>
          <w:b/>
          <w:color w:val="000000" w:themeColor="text1"/>
          <w:sz w:val="24"/>
          <w:szCs w:val="24"/>
        </w:rPr>
        <w:t xml:space="preserve"> 2014</w:t>
      </w:r>
      <w:r>
        <w:rPr>
          <w:b/>
          <w:color w:val="000000" w:themeColor="text1"/>
          <w:sz w:val="24"/>
          <w:szCs w:val="24"/>
        </w:rPr>
        <w:t>:</w:t>
      </w:r>
      <w:r w:rsidR="00E214E9">
        <w:rPr>
          <w:b/>
          <w:color w:val="000000" w:themeColor="text1"/>
          <w:sz w:val="24"/>
          <w:szCs w:val="24"/>
        </w:rPr>
        <w:t xml:space="preserve"> </w:t>
      </w:r>
      <w:r w:rsidR="00E214E9">
        <w:rPr>
          <w:b/>
          <w:color w:val="000000" w:themeColor="text1"/>
          <w:sz w:val="24"/>
          <w:szCs w:val="24"/>
        </w:rPr>
        <w:tab/>
        <w:t>(Savings Account):</w:t>
      </w:r>
      <w:r w:rsidR="00E214E9">
        <w:rPr>
          <w:b/>
          <w:color w:val="000000" w:themeColor="text1"/>
          <w:sz w:val="24"/>
          <w:szCs w:val="24"/>
        </w:rPr>
        <w:tab/>
      </w:r>
      <w:r w:rsidR="00E214E9">
        <w:rPr>
          <w:b/>
          <w:color w:val="000000" w:themeColor="text1"/>
          <w:sz w:val="24"/>
          <w:szCs w:val="24"/>
        </w:rPr>
        <w:tab/>
      </w:r>
      <w:r w:rsidR="00E214E9" w:rsidRPr="00204875">
        <w:rPr>
          <w:b/>
          <w:color w:val="000000" w:themeColor="text1"/>
          <w:sz w:val="24"/>
          <w:szCs w:val="24"/>
          <w:u w:val="single"/>
        </w:rPr>
        <w:t>$50</w:t>
      </w:r>
    </w:p>
    <w:p w14:paraId="1199924F" w14:textId="0C5B352D" w:rsidR="00E214E9" w:rsidRDefault="00882B9C" w:rsidP="00654B60">
      <w:pPr>
        <w:spacing w:line="240" w:lineRule="au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(Checking Account):</w:t>
      </w:r>
      <w:r>
        <w:rPr>
          <w:b/>
          <w:color w:val="000000" w:themeColor="text1"/>
          <w:sz w:val="24"/>
          <w:szCs w:val="24"/>
        </w:rPr>
        <w:tab/>
      </w:r>
      <w:r w:rsidR="00E214E9" w:rsidRPr="00204875">
        <w:rPr>
          <w:b/>
          <w:color w:val="000000" w:themeColor="text1"/>
          <w:sz w:val="24"/>
          <w:szCs w:val="24"/>
          <w:u w:val="single"/>
        </w:rPr>
        <w:t>$</w:t>
      </w:r>
      <w:r w:rsidR="00204875" w:rsidRPr="00204875">
        <w:rPr>
          <w:b/>
          <w:color w:val="000000" w:themeColor="text1"/>
          <w:sz w:val="24"/>
          <w:szCs w:val="24"/>
          <w:u w:val="single"/>
        </w:rPr>
        <w:t>107,257.41</w:t>
      </w:r>
    </w:p>
    <w:p w14:paraId="49810CB1" w14:textId="74EF4491" w:rsidR="00204875" w:rsidRPr="00151F7F" w:rsidRDefault="00204875" w:rsidP="00151F7F">
      <w:pPr>
        <w:spacing w:line="240" w:lineRule="auto"/>
        <w:rPr>
          <w:sz w:val="24"/>
          <w:szCs w:val="24"/>
        </w:rPr>
      </w:pPr>
      <w:r w:rsidRPr="00151F7F">
        <w:rPr>
          <w:sz w:val="24"/>
          <w:szCs w:val="24"/>
        </w:rPr>
        <w:t>The LMCU checking account is the main operating account of the IBHA</w:t>
      </w:r>
      <w:r w:rsidR="00EB66C0" w:rsidRPr="00151F7F">
        <w:rPr>
          <w:sz w:val="24"/>
          <w:szCs w:val="24"/>
        </w:rPr>
        <w:t>.</w:t>
      </w:r>
      <w:r w:rsidR="00151F7F">
        <w:rPr>
          <w:sz w:val="24"/>
          <w:szCs w:val="24"/>
        </w:rPr>
        <w:t xml:space="preserve">  </w:t>
      </w:r>
      <w:r w:rsidR="00882B9C" w:rsidRPr="00151F7F">
        <w:rPr>
          <w:sz w:val="24"/>
          <w:szCs w:val="24"/>
        </w:rPr>
        <w:t>Balance is misleading</w:t>
      </w:r>
      <w:r w:rsidRPr="00151F7F">
        <w:rPr>
          <w:sz w:val="24"/>
          <w:szCs w:val="24"/>
        </w:rPr>
        <w:t xml:space="preserve"> in that it includes all conference registration fees, but few conference expenses </w:t>
      </w:r>
      <w:r w:rsidR="00882B9C" w:rsidRPr="00151F7F">
        <w:rPr>
          <w:sz w:val="24"/>
          <w:szCs w:val="24"/>
        </w:rPr>
        <w:t>(</w:t>
      </w:r>
      <w:r w:rsidR="00151F7F">
        <w:rPr>
          <w:sz w:val="24"/>
          <w:szCs w:val="24"/>
        </w:rPr>
        <w:t xml:space="preserve">estimated </w:t>
      </w:r>
      <w:r w:rsidR="00882B9C" w:rsidRPr="00151F7F">
        <w:rPr>
          <w:sz w:val="24"/>
          <w:szCs w:val="24"/>
        </w:rPr>
        <w:t xml:space="preserve">$35-40K) </w:t>
      </w:r>
      <w:r w:rsidRPr="00151F7F">
        <w:rPr>
          <w:sz w:val="24"/>
          <w:szCs w:val="24"/>
        </w:rPr>
        <w:t>have yet been paid</w:t>
      </w:r>
    </w:p>
    <w:p w14:paraId="23705A4C" w14:textId="6DA51CC3" w:rsidR="007862FB" w:rsidRDefault="007862FB" w:rsidP="007862FB">
      <w:pPr>
        <w:spacing w:line="240" w:lineRule="auto"/>
        <w:rPr>
          <w:b/>
          <w:sz w:val="24"/>
          <w:szCs w:val="24"/>
        </w:rPr>
      </w:pPr>
      <w:r w:rsidRPr="007862FB">
        <w:rPr>
          <w:b/>
          <w:sz w:val="24"/>
          <w:szCs w:val="24"/>
        </w:rPr>
        <w:t>Notes</w:t>
      </w:r>
    </w:p>
    <w:p w14:paraId="724D4592" w14:textId="21FAA46E" w:rsidR="007862FB" w:rsidRDefault="007862FB" w:rsidP="007862F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Most of our income comes from membershi</w:t>
      </w:r>
      <w:r w:rsidRPr="007862FB">
        <w:rPr>
          <w:sz w:val="24"/>
          <w:szCs w:val="24"/>
        </w:rPr>
        <w:t>p dues</w:t>
      </w:r>
      <w:r>
        <w:rPr>
          <w:sz w:val="24"/>
          <w:szCs w:val="24"/>
        </w:rPr>
        <w:t xml:space="preserve"> (currently 347 members).  This </w:t>
      </w:r>
      <w:r w:rsidR="00151F7F">
        <w:rPr>
          <w:sz w:val="24"/>
          <w:szCs w:val="24"/>
        </w:rPr>
        <w:t>tends to increase</w:t>
      </w:r>
      <w:r>
        <w:rPr>
          <w:sz w:val="24"/>
          <w:szCs w:val="24"/>
        </w:rPr>
        <w:t xml:space="preserve"> before a conference, and then to decrease</w:t>
      </w:r>
      <w:r w:rsidR="00151F7F">
        <w:rPr>
          <w:sz w:val="24"/>
          <w:szCs w:val="24"/>
        </w:rPr>
        <w:t xml:space="preserve"> afterwards</w:t>
      </w:r>
      <w:r>
        <w:rPr>
          <w:sz w:val="24"/>
          <w:szCs w:val="24"/>
        </w:rPr>
        <w:t xml:space="preserve">, so please maintain your membership even in non-conference years. </w:t>
      </w:r>
    </w:p>
    <w:p w14:paraId="39B75DF8" w14:textId="3EBA37C6" w:rsidR="007862FB" w:rsidRDefault="00151F7F" w:rsidP="007862F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7862FB">
        <w:rPr>
          <w:sz w:val="24"/>
          <w:szCs w:val="24"/>
        </w:rPr>
        <w:t xml:space="preserve">ncome also accrues from conference registration fees, but this </w:t>
      </w:r>
      <w:r>
        <w:rPr>
          <w:sz w:val="24"/>
          <w:szCs w:val="24"/>
        </w:rPr>
        <w:t>only occurs</w:t>
      </w:r>
      <w:r w:rsidR="007862FB">
        <w:rPr>
          <w:sz w:val="24"/>
          <w:szCs w:val="24"/>
        </w:rPr>
        <w:t xml:space="preserve"> during conference years (2012, 2014, hopefully 2016). E.g. total income in 2013 was $12,555, but it should be at least double that in 2014</w:t>
      </w:r>
      <w:r>
        <w:rPr>
          <w:sz w:val="24"/>
          <w:szCs w:val="24"/>
        </w:rPr>
        <w:t xml:space="preserve"> </w:t>
      </w:r>
    </w:p>
    <w:p w14:paraId="11466D39" w14:textId="0C8F5EA6" w:rsidR="007862FB" w:rsidRDefault="007862FB" w:rsidP="007862F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Most of our expenditure is on our Office Coordinator ($16-18K pa); also on accounting services, legal services, bank fees, membership of international organizations, office supplies, and miscellaneous.  Total expenditure in 2013 was $22,112.</w:t>
      </w:r>
    </w:p>
    <w:p w14:paraId="64522408" w14:textId="77777777" w:rsidR="00151F7F" w:rsidRDefault="00151F7F" w:rsidP="0020487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Bottom line is that we are in a stable and reasonably secure financial situation at the moment, but we need to maintain and increase membership income, continue to budget for a profit from our biennial conferences, and maintain caution in our expenditure.</w:t>
      </w:r>
    </w:p>
    <w:p w14:paraId="4102406C" w14:textId="3259F23B" w:rsidR="00204875" w:rsidRPr="00151F7F" w:rsidRDefault="00151F7F" w:rsidP="0020487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51F7F">
        <w:rPr>
          <w:sz w:val="24"/>
          <w:szCs w:val="24"/>
        </w:rPr>
        <w:t xml:space="preserve">Attached is a one page extract from the IBHA’s </w:t>
      </w:r>
      <w:r w:rsidR="00204875" w:rsidRPr="00151F7F">
        <w:rPr>
          <w:sz w:val="24"/>
          <w:szCs w:val="24"/>
        </w:rPr>
        <w:t>2013 financial statement, as prepared by ou</w:t>
      </w:r>
      <w:r w:rsidR="00594B98" w:rsidRPr="00151F7F">
        <w:rPr>
          <w:sz w:val="24"/>
          <w:szCs w:val="24"/>
        </w:rPr>
        <w:t>r accountant Andy Bos of Eastow</w:t>
      </w:r>
      <w:r w:rsidR="00204875" w:rsidRPr="00151F7F">
        <w:rPr>
          <w:sz w:val="24"/>
          <w:szCs w:val="24"/>
        </w:rPr>
        <w:t>n Financial Services</w:t>
      </w:r>
      <w:r w:rsidR="0038411B" w:rsidRPr="00151F7F">
        <w:rPr>
          <w:sz w:val="24"/>
          <w:szCs w:val="24"/>
        </w:rPr>
        <w:t xml:space="preserve"> </w:t>
      </w:r>
    </w:p>
    <w:p w14:paraId="0E6E4B2D" w14:textId="2B6E3A2A" w:rsidR="00E214E9" w:rsidRPr="00E214E9" w:rsidRDefault="00E214E9" w:rsidP="00654B60">
      <w:pPr>
        <w:spacing w:line="240" w:lineRule="auto"/>
        <w:rPr>
          <w:b/>
          <w:i/>
          <w:sz w:val="24"/>
          <w:szCs w:val="24"/>
        </w:rPr>
      </w:pPr>
      <w:r w:rsidRPr="00E214E9">
        <w:rPr>
          <w:b/>
          <w:i/>
          <w:sz w:val="24"/>
          <w:szCs w:val="24"/>
        </w:rPr>
        <w:t xml:space="preserve">Respectfully submitted to </w:t>
      </w:r>
      <w:r w:rsidR="00151F7F">
        <w:rPr>
          <w:b/>
          <w:i/>
          <w:sz w:val="24"/>
          <w:szCs w:val="24"/>
        </w:rPr>
        <w:t>the IBHA membership</w:t>
      </w:r>
      <w:r w:rsidRPr="00E214E9">
        <w:rPr>
          <w:b/>
          <w:i/>
          <w:sz w:val="24"/>
          <w:szCs w:val="24"/>
        </w:rPr>
        <w:t xml:space="preserve"> as a true and correct record of accounts by </w:t>
      </w:r>
      <w:r>
        <w:rPr>
          <w:b/>
          <w:i/>
          <w:sz w:val="24"/>
          <w:szCs w:val="24"/>
        </w:rPr>
        <w:t>IBHA</w:t>
      </w:r>
      <w:r w:rsidR="00204875">
        <w:rPr>
          <w:b/>
          <w:i/>
          <w:sz w:val="24"/>
          <w:szCs w:val="24"/>
        </w:rPr>
        <w:t xml:space="preserve"> Treasurer, Craig Benjamin on </w:t>
      </w:r>
      <w:r w:rsidR="00151F7F">
        <w:rPr>
          <w:b/>
          <w:i/>
          <w:sz w:val="24"/>
          <w:szCs w:val="24"/>
        </w:rPr>
        <w:t>28</w:t>
      </w:r>
      <w:r w:rsidR="00151F7F" w:rsidRPr="00151F7F">
        <w:rPr>
          <w:b/>
          <w:i/>
          <w:sz w:val="24"/>
          <w:szCs w:val="24"/>
          <w:vertAlign w:val="superscript"/>
        </w:rPr>
        <w:t>th</w:t>
      </w:r>
      <w:r w:rsidR="00151F7F">
        <w:rPr>
          <w:b/>
          <w:i/>
          <w:sz w:val="24"/>
          <w:szCs w:val="24"/>
        </w:rPr>
        <w:t xml:space="preserve"> </w:t>
      </w:r>
      <w:r w:rsidR="00204875">
        <w:rPr>
          <w:b/>
          <w:i/>
          <w:sz w:val="24"/>
          <w:szCs w:val="24"/>
        </w:rPr>
        <w:t>July 2014</w:t>
      </w:r>
      <w:bookmarkStart w:id="0" w:name="_GoBack"/>
      <w:bookmarkEnd w:id="0"/>
    </w:p>
    <w:sectPr w:rsidR="00E214E9" w:rsidRPr="00E214E9" w:rsidSect="008B0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8FF"/>
    <w:multiLevelType w:val="hybridMultilevel"/>
    <w:tmpl w:val="23B8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266E3"/>
    <w:multiLevelType w:val="hybridMultilevel"/>
    <w:tmpl w:val="B38C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9763A"/>
    <w:multiLevelType w:val="hybridMultilevel"/>
    <w:tmpl w:val="7B166D4A"/>
    <w:lvl w:ilvl="0" w:tplc="364C6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C78E9"/>
    <w:multiLevelType w:val="hybridMultilevel"/>
    <w:tmpl w:val="C3FC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60"/>
    <w:rsid w:val="00151F7F"/>
    <w:rsid w:val="002000A8"/>
    <w:rsid w:val="00204875"/>
    <w:rsid w:val="002B35C3"/>
    <w:rsid w:val="0038411B"/>
    <w:rsid w:val="00474786"/>
    <w:rsid w:val="00512080"/>
    <w:rsid w:val="00594B98"/>
    <w:rsid w:val="00654B60"/>
    <w:rsid w:val="007862FB"/>
    <w:rsid w:val="00882B9C"/>
    <w:rsid w:val="008B0560"/>
    <w:rsid w:val="00AC49F3"/>
    <w:rsid w:val="00E214E9"/>
    <w:rsid w:val="00EB66C0"/>
    <w:rsid w:val="00F7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F8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benjamic</dc:creator>
  <cp:lastModifiedBy>Craig Benjamin</cp:lastModifiedBy>
  <cp:revision>4</cp:revision>
  <dcterms:created xsi:type="dcterms:W3CDTF">2014-07-28T18:32:00Z</dcterms:created>
  <dcterms:modified xsi:type="dcterms:W3CDTF">2014-07-28T18:52:00Z</dcterms:modified>
</cp:coreProperties>
</file>